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rFonts w:ascii="Times New Roman;Times;Serif" w:hAnsi="Times New Roman;Times;Serif"/>
          <w:b w:val="false"/>
          <w:i w:val="false"/>
          <w:caps w:val="false"/>
          <w:smallCaps w:val="false"/>
          <w:sz w:val="36"/>
        </w:rPr>
      </w:pPr>
      <w:bookmarkStart w:id="0" w:name="dp248898_8k.htm"/>
      <w:bookmarkStart w:id="1" w:name="ksdp248898_8k"/>
      <w:bookmarkEnd w:id="0"/>
      <w:bookmarkEnd w:id="1"/>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Washington, D.C. 20549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0_edei--DocumentType_c2026061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CURRENT REPORT</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A_edei--DocumentPeriodEndDate_c202"/>
      <w:bookmarkEnd w:id="3"/>
      <w:r>
        <w:rPr>
          <w:rFonts w:ascii="Times New Roman;Times;Serif" w:hAnsi="Times New Roman;Times;Serif"/>
          <w:b/>
          <w:i w:val="false"/>
          <w:caps w:val="false"/>
          <w:smallCaps w:val="false"/>
          <w:sz w:val="20"/>
        </w:rPr>
        <w:t>June 18,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48"/>
        </w:rPr>
      </w:pPr>
      <w:bookmarkStart w:id="4" w:name="xdx_908_edei--EntityRegistrantName_c2026"/>
      <w:bookmarkEnd w:id="4"/>
      <w:r>
        <w:rPr>
          <w:rFonts w:ascii="Times New Roman;Times;Serif" w:hAnsi="Times New Roman;Times;Serif"/>
          <w:b/>
          <w:i w:val="false"/>
          <w:caps/>
          <w:sz w:val="48"/>
        </w:rPr>
        <w:t>Precigen,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p>
    <w:p>
      <w:pPr>
        <w:pStyle w:val="TextBody"/>
        <w:bidi w:val="0"/>
        <w:spacing w:before="0" w:after="0"/>
        <w:ind w:left="0" w:right="0" w:hanging="0"/>
        <w:jc w:val="center"/>
        <w:rPr>
          <w:caps w:val="false"/>
          <w:smallCaps w:val="false"/>
        </w:rPr>
      </w:pPr>
      <w:r>
        <w:rPr>
          <w:caps w:val="false"/>
          <w:smallCaps w:val="false"/>
        </w:rPr>
        <w:t> </w:t>
      </w:r>
    </w:p>
    <w:tbl>
      <w:tblPr>
        <w:tblW w:w="5100" w:type="dxa"/>
        <w:jc w:val="left"/>
        <w:tblInd w:w="0" w:type="dxa"/>
        <w:tblLayout w:type="fixed"/>
        <w:tblCellMar>
          <w:top w:w="0" w:type="dxa"/>
          <w:left w:w="0" w:type="dxa"/>
          <w:bottom w:w="0" w:type="dxa"/>
          <w:right w:w="0" w:type="dxa"/>
        </w:tblCellMar>
      </w:tblPr>
      <w:tblGrid>
        <w:gridCol w:w="2270"/>
        <w:gridCol w:w="60"/>
        <w:gridCol w:w="1145"/>
        <w:gridCol w:w="60"/>
        <w:gridCol w:w="1565"/>
      </w:tblGrid>
      <w:tr>
        <w:trPr/>
        <w:tc>
          <w:tcPr>
            <w:tcW w:w="2270" w:type="dxa"/>
            <w:tcBorders/>
            <w:vAlign w:val="center"/>
          </w:tcPr>
          <w:p>
            <w:pPr>
              <w:pStyle w:val="TableContents"/>
              <w:bidi w:val="0"/>
              <w:spacing w:before="0" w:after="283"/>
              <w:jc w:val="center"/>
              <w:rPr>
                <w:b/>
                <w:sz w:val="20"/>
              </w:rPr>
            </w:pPr>
            <w:bookmarkStart w:id="5" w:name="xdx_90C_edei--EntityIncorporationStateCo"/>
            <w:bookmarkEnd w:id="5"/>
            <w:r>
              <w:rPr>
                <w:b/>
                <w:sz w:val="20"/>
              </w:rPr>
              <w:t>Virginia</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sz w:val="20"/>
              </w:rPr>
            </w:pPr>
            <w:bookmarkStart w:id="6" w:name="xdx_90D_edei--EntityFileNumber_c20260618"/>
            <w:bookmarkEnd w:id="6"/>
            <w:r>
              <w:rPr>
                <w:b/>
                <w:sz w:val="20"/>
              </w:rPr>
              <w:t>001-36042</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283"/>
              <w:jc w:val="center"/>
              <w:rPr>
                <w:b/>
                <w:sz w:val="20"/>
              </w:rPr>
            </w:pPr>
            <w:bookmarkStart w:id="7" w:name="xdx_905_edei--EntityTaxIdentificationNum"/>
            <w:bookmarkEnd w:id="7"/>
            <w:r>
              <w:rPr>
                <w:b/>
                <w:sz w:val="20"/>
              </w:rPr>
              <w:t>26-0084895</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20374Seneca Meadows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xdx_901_edei--EntityAddressCityOrTown_c2"/>
      <w:bookmarkEnd w:id="9"/>
      <w:r>
        <w:rPr>
          <w:rFonts w:ascii="Times New Roman;Times;Serif" w:hAnsi="Times New Roman;Times;Serif"/>
          <w:b/>
          <w:i w:val="false"/>
          <w:caps w:val="false"/>
          <w:smallCaps w:val="false"/>
          <w:sz w:val="20"/>
        </w:rPr>
        <w:t xml:space="preserve">Germantown, </w:t>
      </w:r>
      <w:bookmarkStart w:id="10" w:name="xdx_907_edei--EntityAddressStateOrProvin"/>
      <w:bookmarkEnd w:id="10"/>
      <w:r>
        <w:rPr>
          <w:rFonts w:ascii="Times New Roman;Times;Serif" w:hAnsi="Times New Roman;Times;Serif"/>
          <w:b/>
          <w:i w:val="false"/>
          <w:caps w:val="false"/>
          <w:smallCaps w:val="false"/>
          <w:sz w:val="20"/>
        </w:rPr>
        <w:t xml:space="preserve">Maryland </w:t>
      </w:r>
      <w:bookmarkStart w:id="11" w:name="xdx_906_edei--EntityAddressPostalZipCode"/>
      <w:bookmarkEnd w:id="11"/>
      <w:r>
        <w:rPr>
          <w:rFonts w:ascii="Times New Roman;Times;Serif" w:hAnsi="Times New Roman;Times;Serif"/>
          <w:b/>
          <w:i w:val="false"/>
          <w:caps w:val="false"/>
          <w:smallCaps w:val="false"/>
          <w:sz w:val="20"/>
        </w:rPr>
        <w:t>20876 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D_edei--CityAreaCode_c20260618__20"/>
      <w:bookmarkEnd w:id="12"/>
      <w:r>
        <w:rPr>
          <w:rFonts w:ascii="Times New Roman;Times;Serif" w:hAnsi="Times New Roman;Times;Serif"/>
          <w:b/>
          <w:i w:val="false"/>
          <w:caps w:val="false"/>
          <w:smallCaps w:val="false"/>
          <w:sz w:val="20"/>
        </w:rPr>
        <w:t xml:space="preserve">301) </w:t>
      </w:r>
      <w:bookmarkStart w:id="13" w:name="xdx_900_edei--LocalPhoneNumber_c20260618"/>
      <w:bookmarkEnd w:id="13"/>
      <w:r>
        <w:rPr>
          <w:rFonts w:ascii="Times New Roman;Times;Serif" w:hAnsi="Times New Roman;Times;Serif"/>
          <w:b/>
          <w:i w:val="false"/>
          <w:caps w:val="false"/>
          <w:smallCaps w:val="false"/>
          <w:sz w:val="20"/>
        </w:rPr>
        <w:t>556-9900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w:t>
      </w:r>
      <w:r>
        <w:rPr>
          <w:rFonts w:ascii="Times New Roman;Times;Serif" w:hAnsi="Times New Roman;Times;Serif"/>
          <w:b w:val="false"/>
          <w:i w:val="false"/>
          <w:caps w:val="false"/>
          <w:smallCaps w:val="false"/>
          <w:sz w:val="20"/>
          <w:u w:val="single"/>
        </w:rPr>
        <w:t>see</w:t>
      </w:r>
      <w:r>
        <w:rPr>
          <w:rFonts w:ascii="Times New Roman;Times;Serif" w:hAnsi="Times New Roman;Times;Serif"/>
          <w:b w:val="false"/>
          <w:i w:val="false"/>
          <w:caps w:val="false"/>
          <w:smallCaps w:val="false"/>
          <w:sz w:val="20"/>
        </w:rPr>
        <w:t xml:space="preserve"> General Instruction A.2. below):</w:t>
      </w:r>
    </w:p>
    <w:p>
      <w:pPr>
        <w:pStyle w:val="TextBody"/>
        <w:bidi w:val="0"/>
        <w:spacing w:before="0" w:after="0"/>
        <w:ind w:left="0" w:right="0" w:hanging="0"/>
        <w:jc w:val="left"/>
        <w:rPr>
          <w:caps w:val="false"/>
          <w:smallCaps w:val="false"/>
        </w:rPr>
      </w:pPr>
      <w:r>
        <w:rPr>
          <w:caps w:val="false"/>
          <w:smallCaps w:val="false"/>
        </w:rPr>
        <w:t> </w:t>
      </w:r>
    </w:p>
    <w:tbl>
      <w:tblPr>
        <w:tblW w:w="8793" w:type="dxa"/>
        <w:jc w:val="left"/>
        <w:tblInd w:w="0" w:type="dxa"/>
        <w:tblLayout w:type="fixed"/>
        <w:tblCellMar>
          <w:top w:w="0" w:type="dxa"/>
          <w:left w:w="0" w:type="dxa"/>
          <w:bottom w:w="0" w:type="dxa"/>
          <w:right w:w="0" w:type="dxa"/>
        </w:tblCellMar>
      </w:tblPr>
      <w:tblGrid>
        <w:gridCol w:w="38"/>
        <w:gridCol w:w="230"/>
        <w:gridCol w:w="852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4" w:name="xdx_901_edei--WrittenCommunications_c202"/>
            <w:bookmarkEnd w:id="14"/>
            <w:r>
              <w:rPr/>
              <w:t>☐</w:t>
            </w:r>
          </w:p>
        </w:tc>
        <w:tc>
          <w:tcPr>
            <w:tcW w:w="8525" w:type="dxa"/>
            <w:tcBorders/>
            <w:vAlign w:val="center"/>
          </w:tcPr>
          <w:p>
            <w:pPr>
              <w:pStyle w:val="TableContents"/>
              <w:bidi w:val="0"/>
              <w:spacing w:before="0" w:after="283"/>
              <w:jc w:val="left"/>
              <w:rPr/>
            </w:pPr>
            <w:r>
              <w:rPr/>
              <w:t>Written communications pursuant to Rule 425 under the Securities Act (17 CFR 230.425)</w:t>
            </w:r>
          </w:p>
        </w:tc>
      </w:tr>
    </w:tbl>
    <w:p>
      <w:pPr>
        <w:pStyle w:val="TextBody"/>
        <w:bidi w:val="0"/>
        <w:spacing w:before="0" w:after="283"/>
        <w:jc w:val="left"/>
        <w:rPr/>
      </w:pPr>
      <w:r>
        <w:rPr/>
        <w:t> </w:t>
      </w:r>
    </w:p>
    <w:tbl>
      <w:tblPr>
        <w:tblW w:w="8823" w:type="dxa"/>
        <w:jc w:val="left"/>
        <w:tblInd w:w="0" w:type="dxa"/>
        <w:tblLayout w:type="fixed"/>
        <w:tblCellMar>
          <w:top w:w="0" w:type="dxa"/>
          <w:left w:w="0" w:type="dxa"/>
          <w:bottom w:w="0" w:type="dxa"/>
          <w:right w:w="0" w:type="dxa"/>
        </w:tblCellMar>
      </w:tblPr>
      <w:tblGrid>
        <w:gridCol w:w="38"/>
        <w:gridCol w:w="230"/>
        <w:gridCol w:w="8555"/>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5" w:name="xdx_905_edei--SolicitingMaterial_c202606"/>
            <w:bookmarkEnd w:id="15"/>
            <w:r>
              <w:rPr/>
              <w:t>☐</w:t>
            </w:r>
          </w:p>
        </w:tc>
        <w:tc>
          <w:tcPr>
            <w:tcW w:w="8555" w:type="dxa"/>
            <w:tcBorders/>
            <w:vAlign w:val="center"/>
          </w:tcPr>
          <w:p>
            <w:pPr>
              <w:pStyle w:val="TableContents"/>
              <w:bidi w:val="0"/>
              <w:spacing w:before="0" w:after="283"/>
              <w:jc w:val="left"/>
              <w:rPr/>
            </w:pPr>
            <w:r>
              <w:rPr/>
              <w:t>Soliciting material pursuant to Rule 14a-12 under the Exchange Act (17 CFR 240.14a-12)</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6" w:name="xdx_908_edei--PreCommencementTenderOffer"/>
            <w:bookmarkEnd w:id="16"/>
            <w:r>
              <w:rPr/>
              <w:t>☐</w:t>
            </w:r>
          </w:p>
        </w:tc>
        <w:tc>
          <w:tcPr>
            <w:tcW w:w="9937" w:type="dxa"/>
            <w:tcBorders/>
            <w:vAlign w:val="center"/>
          </w:tcPr>
          <w:p>
            <w:pPr>
              <w:pStyle w:val="TableContents"/>
              <w:bidi w:val="0"/>
              <w:spacing w:before="0" w:after="283"/>
              <w:jc w:val="left"/>
              <w:rPr/>
            </w:pPr>
            <w:r>
              <w:rPr/>
              <w:t>Pre-commencement communications pursuant to Rule 14d-2(b) under the Exchange Act (17 CFR 240.14d-2(b))</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230"/>
        <w:gridCol w:w="9937"/>
      </w:tblGrid>
      <w:tr>
        <w:trPr/>
        <w:tc>
          <w:tcPr>
            <w:tcW w:w="3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bookmarkStart w:id="17" w:name="xdx_90D_edei--PreCommencementIssuerTende"/>
            <w:bookmarkEnd w:id="17"/>
            <w:r>
              <w:rPr/>
              <w:t>☐</w:t>
            </w:r>
          </w:p>
        </w:tc>
        <w:tc>
          <w:tcPr>
            <w:tcW w:w="9937"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Securities registered pursuant to 12(b) of the Act: </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28" w:type="dxa"/>
          <w:right w:w="0" w:type="dxa"/>
        </w:tblCellMar>
      </w:tblPr>
      <w:tblGrid>
        <w:gridCol w:w="2555"/>
        <w:gridCol w:w="60"/>
        <w:gridCol w:w="860"/>
        <w:gridCol w:w="60"/>
        <w:gridCol w:w="2510"/>
      </w:tblGrid>
      <w:tr>
        <w:trPr/>
        <w:tc>
          <w:tcPr>
            <w:tcW w:w="2555" w:type="dxa"/>
            <w:tcBorders>
              <w:bottom w:val="single" w:sz="8" w:space="0" w:color="000000"/>
            </w:tcBorders>
            <w:vAlign w:val="center"/>
          </w:tcPr>
          <w:p>
            <w:pPr>
              <w:pStyle w:val="TableContents"/>
              <w:bidi w:val="0"/>
              <w:spacing w:before="0" w:after="283"/>
              <w:jc w:val="center"/>
              <w:rPr>
                <w:b/>
                <w:sz w:val="20"/>
              </w:rPr>
            </w:pPr>
            <w:r>
              <w:rPr>
                <w:b/>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86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Symbol(s)</w:t>
            </w:r>
          </w:p>
        </w:tc>
        <w:tc>
          <w:tcPr>
            <w:tcW w:w="60" w:type="dxa"/>
            <w:tcBorders/>
            <w:tcMar>
              <w:bottom w:w="0" w:type="dxa"/>
            </w:tcMar>
            <w:vAlign w:val="center"/>
          </w:tcPr>
          <w:p>
            <w:pPr>
              <w:pStyle w:val="TableContents"/>
              <w:bidi w:val="0"/>
              <w:spacing w:before="0" w:after="283"/>
              <w:jc w:val="left"/>
              <w:rPr/>
            </w:pPr>
            <w:r>
              <w:rPr/>
              <w:t> </w:t>
            </w:r>
          </w:p>
        </w:tc>
        <w:tc>
          <w:tcPr>
            <w:tcW w:w="2510"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which registered</w:t>
            </w:r>
          </w:p>
        </w:tc>
      </w:tr>
      <w:tr>
        <w:trPr/>
        <w:tc>
          <w:tcPr>
            <w:tcW w:w="2555" w:type="dxa"/>
            <w:tcBorders/>
            <w:tcMar>
              <w:bottom w:w="0" w:type="dxa"/>
            </w:tcMar>
            <w:vAlign w:val="center"/>
          </w:tcPr>
          <w:p>
            <w:pPr>
              <w:pStyle w:val="TableContents"/>
              <w:bidi w:val="0"/>
              <w:spacing w:before="0" w:after="283"/>
              <w:jc w:val="center"/>
              <w:rPr>
                <w:b/>
                <w:sz w:val="20"/>
              </w:rPr>
            </w:pPr>
            <w:bookmarkStart w:id="18" w:name="xdx_909_edei--Security12bTitle_c20260618"/>
            <w:bookmarkEnd w:id="18"/>
            <w:r>
              <w:rPr>
                <w:b/>
                <w:sz w:val="20"/>
              </w:rPr>
              <w:t>Common Stock, No Par Value</w:t>
            </w:r>
          </w:p>
        </w:tc>
        <w:tc>
          <w:tcPr>
            <w:tcW w:w="60" w:type="dxa"/>
            <w:tcBorders/>
            <w:tcMar>
              <w:bottom w:w="0" w:type="dxa"/>
            </w:tcMar>
            <w:vAlign w:val="center"/>
          </w:tcPr>
          <w:p>
            <w:pPr>
              <w:pStyle w:val="TableContents"/>
              <w:bidi w:val="0"/>
              <w:spacing w:before="0" w:after="283"/>
              <w:jc w:val="left"/>
              <w:rPr/>
            </w:pPr>
            <w:r>
              <w:rPr/>
              <w:t> </w:t>
            </w:r>
          </w:p>
        </w:tc>
        <w:tc>
          <w:tcPr>
            <w:tcW w:w="860" w:type="dxa"/>
            <w:tcBorders/>
            <w:tcMar>
              <w:bottom w:w="0" w:type="dxa"/>
            </w:tcMar>
            <w:vAlign w:val="center"/>
          </w:tcPr>
          <w:p>
            <w:pPr>
              <w:pStyle w:val="TableContents"/>
              <w:bidi w:val="0"/>
              <w:spacing w:before="0" w:after="283"/>
              <w:jc w:val="center"/>
              <w:rPr>
                <w:b/>
                <w:sz w:val="20"/>
              </w:rPr>
            </w:pPr>
            <w:bookmarkStart w:id="19" w:name="xdx_90B_edei--TradingSymbol_c20260618__2"/>
            <w:bookmarkEnd w:id="19"/>
            <w:r>
              <w:rPr>
                <w:b/>
                <w:sz w:val="20"/>
              </w:rPr>
              <w:t>PGEN</w:t>
            </w:r>
          </w:p>
        </w:tc>
        <w:tc>
          <w:tcPr>
            <w:tcW w:w="60" w:type="dxa"/>
            <w:tcBorders/>
            <w:tcMar>
              <w:bottom w:w="0" w:type="dxa"/>
            </w:tcMar>
            <w:vAlign w:val="center"/>
          </w:tcPr>
          <w:p>
            <w:pPr>
              <w:pStyle w:val="TableContents"/>
              <w:bidi w:val="0"/>
              <w:spacing w:before="0" w:after="283"/>
              <w:jc w:val="left"/>
              <w:rPr/>
            </w:pPr>
            <w:r>
              <w:rPr/>
              <w:t> </w:t>
            </w:r>
          </w:p>
        </w:tc>
        <w:tc>
          <w:tcPr>
            <w:tcW w:w="2510" w:type="dxa"/>
            <w:tcBorders/>
            <w:tcMar>
              <w:bottom w:w="0" w:type="dxa"/>
            </w:tcMar>
            <w:vAlign w:val="center"/>
          </w:tcPr>
          <w:p>
            <w:pPr>
              <w:pStyle w:val="TableContents"/>
              <w:bidi w:val="0"/>
              <w:spacing w:before="0" w:after="283"/>
              <w:jc w:val="center"/>
              <w:rPr>
                <w:b/>
                <w:sz w:val="20"/>
              </w:rPr>
            </w:pPr>
            <w:bookmarkStart w:id="20" w:name="xdx_904_edei--SecurityExchangeName_c2026"/>
            <w:bookmarkEnd w:id="20"/>
            <w:r>
              <w:rPr>
                <w:b/>
                <w:sz w:val="20"/>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6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8"/>
        <w:gridCol w:w="795"/>
        <w:gridCol w:w="9372"/>
      </w:tblGrid>
      <w:tr>
        <w:trPr/>
        <w:tc>
          <w:tcPr>
            <w:tcW w:w="3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b/>
              </w:rPr>
            </w:pPr>
            <w:r>
              <w:rPr>
                <w:b/>
              </w:rPr>
              <w:t>Item 5.02.</w:t>
            </w:r>
          </w:p>
        </w:tc>
        <w:tc>
          <w:tcPr>
            <w:tcW w:w="9372" w:type="dxa"/>
            <w:tcBorders/>
            <w:vAlign w:val="center"/>
          </w:tcPr>
          <w:p>
            <w:pPr>
              <w:pStyle w:val="TableContents"/>
              <w:bidi w:val="0"/>
              <w:spacing w:before="0" w:after="283"/>
              <w:jc w:val="left"/>
              <w:rPr>
                <w:b/>
              </w:rPr>
            </w:pPr>
            <w:r>
              <w:rPr>
                <w:b/>
              </w:rPr>
              <w:t>Departure of Directors or Certain Officers; Election of Directors; Appointment of Certain Officers; Compensatory Arrangements of Certain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Annual Meeting of Stockholders of Precigen, Inc. (the “Company”) held on June 18, 2026 (the “2026 Annual Meeting”), the Company’s stockholders approved an amendment to the Precigen, Inc. 2023 Omnibus Incentive Plan, as amended (the “2023 Plan”), to increase the number of shares of common stock available for issuance thereunder by 7 million (the “2023 Plan Amendment No. 3”). The approval of the 2023 Plan Amendment No. 3 had been previously approved by the Company’s Board of Directors (the “Board”), subject to stockholder approval.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2023 Plan Amendment No. 3 amends the 2023 Plan, which was previously approved by the Company’s stockholders on June 8, 2023, and subsequently amended by the Company’s stockholders on July 5, 2024 and June 26, 2025. The principal features of the 2023 Plan Amendment No. 3 are described in detail under “Proposal 4 - Approval of an Amendment to the Precigen, Inc. 2023 Omnibus Incentive Plan, as Amended (the “2023 Plan”)” of the Company’s Definitive Proxy Statement on Schedule 14A for the 2026 Annual Meeting filed by the Company with the Securities and Exchange Commission on April 30, 2026 (the “Proxy Statement”). The full text of the 2023 Plan Amendment No. 3 is attached as Annex A to the Proxy Statement.</w:t>
      </w:r>
    </w:p>
    <w:p>
      <w:pPr>
        <w:pStyle w:val="TextBody"/>
        <w:bidi w:val="0"/>
        <w:spacing w:before="0" w:after="0"/>
        <w:ind w:left="0" w:right="0" w:hanging="0"/>
        <w:jc w:val="left"/>
        <w:rPr>
          <w:caps w:val="false"/>
          <w:smallCaps w:val="false"/>
        </w:rPr>
      </w:pPr>
      <w:r>
        <w:rPr>
          <w:caps w:val="false"/>
          <w:smallCaps w:val="false"/>
        </w:rPr>
        <w:t> </w:t>
      </w:r>
    </w:p>
    <w:tbl>
      <w:tblPr>
        <w:tblW w:w="6408" w:type="dxa"/>
        <w:jc w:val="left"/>
        <w:tblInd w:w="0" w:type="dxa"/>
        <w:tblLayout w:type="fixed"/>
        <w:tblCellMar>
          <w:top w:w="0" w:type="dxa"/>
          <w:left w:w="0" w:type="dxa"/>
          <w:bottom w:w="0" w:type="dxa"/>
          <w:right w:w="0" w:type="dxa"/>
        </w:tblCellMar>
      </w:tblPr>
      <w:tblGrid>
        <w:gridCol w:w="38"/>
        <w:gridCol w:w="1025"/>
        <w:gridCol w:w="5345"/>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5.07.</w:t>
            </w:r>
          </w:p>
        </w:tc>
        <w:tc>
          <w:tcPr>
            <w:tcW w:w="5345" w:type="dxa"/>
            <w:tcBorders/>
            <w:vAlign w:val="center"/>
          </w:tcPr>
          <w:p>
            <w:pPr>
              <w:pStyle w:val="TableContents"/>
              <w:bidi w:val="0"/>
              <w:spacing w:before="0" w:after="283"/>
              <w:jc w:val="left"/>
              <w:rPr>
                <w:b/>
              </w:rPr>
            </w:pPr>
            <w:r>
              <w:rPr>
                <w:b/>
              </w:rPr>
              <w:t>Submission of Matters to a Vote of Security Holders.</w:t>
            </w:r>
          </w:p>
        </w:tc>
      </w:tr>
    </w:tbl>
    <w:p>
      <w:pPr>
        <w:pStyle w:val="TextBody"/>
        <w:bidi w:val="0"/>
        <w:spacing w:before="0" w:after="0"/>
        <w:ind w:left="180" w:right="180" w:hanging="0"/>
        <w:jc w:val="left"/>
        <w:rPr>
          <w:caps w:val="false"/>
          <w:smallCaps w:val="false"/>
        </w:rPr>
      </w:pPr>
      <w:r>
        <w:rPr>
          <w:caps w:val="false"/>
          <w:smallCaps w:val="false"/>
        </w:rPr>
        <w:t> </w:t>
      </w:r>
    </w:p>
    <w:p>
      <w:pPr>
        <w:pStyle w:val="TextBody"/>
        <w:bidi w:val="0"/>
        <w:spacing w:before="0" w:after="0"/>
        <w:ind w:left="180" w:right="18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the 2026 Annual Meeting, the Company’s stockholders (i) elected each of the persons listed below as a director for a one-year term, (ii) ratified the appointment of Deloitte &amp; Touche LLP as the Company’s independent registered public accounting firm for the fiscal year ending December 31, 2026, (iii) approved a non-binding advisory resolution approving the compensation of the named executive officers, and (iv) approved the 2023 Plan Amendment No. 3.</w:t>
      </w:r>
    </w:p>
    <w:p>
      <w:pPr>
        <w:pStyle w:val="TextBody"/>
        <w:bidi w:val="0"/>
        <w:spacing w:before="0" w:after="0"/>
        <w:ind w:left="180" w:right="18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1 </w:t>
      </w:r>
      <w:r>
        <w:rPr>
          <w:rFonts w:ascii="Times New Roman;Times;Serif" w:hAnsi="Times New Roman;Times;Serif"/>
          <w:b w:val="false"/>
          <w:i w:val="false"/>
          <w:caps w:val="false"/>
          <w:smallCaps w:val="false"/>
          <w:sz w:val="20"/>
        </w:rPr>
        <w:t>- Election of directors.</w:t>
      </w:r>
    </w:p>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2000"/>
        <w:gridCol w:w="1220"/>
        <w:gridCol w:w="60"/>
        <w:gridCol w:w="1100"/>
        <w:gridCol w:w="60"/>
        <w:gridCol w:w="980"/>
        <w:gridCol w:w="60"/>
        <w:gridCol w:w="1910"/>
      </w:tblGrid>
      <w:tr>
        <w:trPr/>
        <w:tc>
          <w:tcPr>
            <w:tcW w:w="2000" w:type="dxa"/>
            <w:tcBorders/>
            <w:vAlign w:val="center"/>
          </w:tcPr>
          <w:p>
            <w:pPr>
              <w:pStyle w:val="TableContents"/>
              <w:bidi w:val="0"/>
              <w:spacing w:before="0" w:after="283"/>
              <w:jc w:val="left"/>
              <w:rPr/>
            </w:pPr>
            <w:r>
              <w:rPr/>
              <w:t> </w:t>
            </w:r>
          </w:p>
        </w:tc>
        <w:tc>
          <w:tcPr>
            <w:tcW w:w="1220" w:type="dxa"/>
            <w:tcBorders>
              <w:bottom w:val="single" w:sz="8" w:space="0" w:color="000000"/>
            </w:tcBorders>
            <w:tcMar>
              <w:bottom w:w="28" w:type="dxa"/>
            </w:tcMar>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center"/>
              <w:rPr/>
            </w:pPr>
            <w:r>
              <w:rPr/>
              <w:t> </w:t>
            </w:r>
          </w:p>
        </w:tc>
        <w:tc>
          <w:tcPr>
            <w:tcW w:w="1100" w:type="dxa"/>
            <w:tcBorders>
              <w:bottom w:val="single" w:sz="8" w:space="0" w:color="000000"/>
            </w:tcBorders>
            <w:tcMar>
              <w:bottom w:w="28" w:type="dxa"/>
            </w:tcMar>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center"/>
              <w:rPr/>
            </w:pPr>
            <w:r>
              <w:rPr/>
              <w:t> </w:t>
            </w:r>
          </w:p>
        </w:tc>
        <w:tc>
          <w:tcPr>
            <w:tcW w:w="980" w:type="dxa"/>
            <w:tcBorders>
              <w:bottom w:val="single" w:sz="8" w:space="0" w:color="000000"/>
            </w:tcBorders>
            <w:tcMar>
              <w:bottom w:w="28" w:type="dxa"/>
            </w:tcMar>
            <w:vAlign w:val="center"/>
          </w:tcPr>
          <w:p>
            <w:pPr>
              <w:pStyle w:val="TableContents"/>
              <w:bidi w:val="0"/>
              <w:spacing w:before="0" w:after="283"/>
              <w:jc w:val="center"/>
              <w:rPr>
                <w:b/>
              </w:rPr>
            </w:pPr>
            <w:r>
              <w:rPr>
                <w:b/>
              </w:rPr>
              <w:t>Abstain</w:t>
            </w:r>
          </w:p>
        </w:tc>
        <w:tc>
          <w:tcPr>
            <w:tcW w:w="60" w:type="dxa"/>
            <w:tcBorders/>
            <w:vAlign w:val="center"/>
          </w:tcPr>
          <w:p>
            <w:pPr>
              <w:pStyle w:val="TableContents"/>
              <w:bidi w:val="0"/>
              <w:spacing w:before="0" w:after="283"/>
              <w:jc w:val="center"/>
              <w:rPr/>
            </w:pPr>
            <w:r>
              <w:rPr/>
              <w:t> </w:t>
            </w:r>
          </w:p>
        </w:tc>
        <w:tc>
          <w:tcPr>
            <w:tcW w:w="1910" w:type="dxa"/>
            <w:tcBorders>
              <w:bottom w:val="single" w:sz="8" w:space="0" w:color="000000"/>
            </w:tcBorders>
            <w:tcMar>
              <w:bottom w:w="28" w:type="dxa"/>
            </w:tcMar>
            <w:vAlign w:val="center"/>
          </w:tcPr>
          <w:p>
            <w:pPr>
              <w:pStyle w:val="TableContents"/>
              <w:bidi w:val="0"/>
              <w:spacing w:before="0" w:after="283"/>
              <w:jc w:val="center"/>
              <w:rPr>
                <w:b/>
              </w:rPr>
            </w:pPr>
            <w:r>
              <w:rPr>
                <w:b/>
              </w:rPr>
              <w:t>Broker Non-Votes</w:t>
            </w:r>
          </w:p>
        </w:tc>
      </w:tr>
      <w:tr>
        <w:trPr/>
        <w:tc>
          <w:tcPr>
            <w:tcW w:w="2000" w:type="dxa"/>
            <w:tcBorders/>
            <w:shd w:fill="D5EAEA" w:val="clear"/>
            <w:vAlign w:val="center"/>
          </w:tcPr>
          <w:p>
            <w:pPr>
              <w:pStyle w:val="TableContents"/>
              <w:bidi w:val="0"/>
              <w:spacing w:before="0" w:after="283"/>
              <w:jc w:val="left"/>
              <w:rPr/>
            </w:pPr>
            <w:r>
              <w:rPr/>
              <w:t>Randal Kirk</w:t>
            </w:r>
          </w:p>
        </w:tc>
        <w:tc>
          <w:tcPr>
            <w:tcW w:w="1220" w:type="dxa"/>
            <w:tcBorders/>
            <w:shd w:fill="D5EAEA" w:val="clear"/>
            <w:vAlign w:val="center"/>
          </w:tcPr>
          <w:p>
            <w:pPr>
              <w:pStyle w:val="TableContents"/>
              <w:bidi w:val="0"/>
              <w:spacing w:before="0" w:after="283"/>
              <w:jc w:val="center"/>
              <w:rPr/>
            </w:pPr>
            <w:r>
              <w:rPr/>
              <w:t>207,060,147</w:t>
            </w:r>
          </w:p>
        </w:tc>
        <w:tc>
          <w:tcPr>
            <w:tcW w:w="60" w:type="dxa"/>
            <w:tcBorders/>
            <w:shd w:fill="D5EAEA" w:val="clear"/>
            <w:vAlign w:val="center"/>
          </w:tcPr>
          <w:p>
            <w:pPr>
              <w:pStyle w:val="TableContents"/>
              <w:bidi w:val="0"/>
              <w:spacing w:before="0" w:after="283"/>
              <w:jc w:val="left"/>
              <w:rPr/>
            </w:pPr>
            <w:r>
              <w:rPr/>
              <w:t> </w:t>
            </w:r>
          </w:p>
        </w:tc>
        <w:tc>
          <w:tcPr>
            <w:tcW w:w="1100" w:type="dxa"/>
            <w:tcBorders/>
            <w:shd w:fill="D5EAEA" w:val="clear"/>
            <w:vAlign w:val="center"/>
          </w:tcPr>
          <w:p>
            <w:pPr>
              <w:pStyle w:val="TableContents"/>
              <w:bidi w:val="0"/>
              <w:spacing w:before="0" w:after="283"/>
              <w:jc w:val="center"/>
              <w:rPr/>
            </w:pPr>
            <w:r>
              <w:rPr/>
              <w:t>5,072,069</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pPr>
            <w:r>
              <w:rPr/>
              <w:t>154,634</w:t>
            </w:r>
          </w:p>
        </w:tc>
        <w:tc>
          <w:tcPr>
            <w:tcW w:w="60" w:type="dxa"/>
            <w:tcBorders/>
            <w:shd w:fill="D5EAEA" w:val="clear"/>
            <w:vAlign w:val="center"/>
          </w:tcPr>
          <w:p>
            <w:pPr>
              <w:pStyle w:val="TableContents"/>
              <w:bidi w:val="0"/>
              <w:spacing w:before="0" w:after="283"/>
              <w:jc w:val="left"/>
              <w:rPr/>
            </w:pPr>
            <w:r>
              <w:rPr/>
              <w:t> </w:t>
            </w:r>
          </w:p>
        </w:tc>
        <w:tc>
          <w:tcPr>
            <w:tcW w:w="1910" w:type="dxa"/>
            <w:tcBorders/>
            <w:shd w:fill="D5EAEA" w:val="clear"/>
            <w:vAlign w:val="center"/>
          </w:tcPr>
          <w:p>
            <w:pPr>
              <w:pStyle w:val="TableContents"/>
              <w:bidi w:val="0"/>
              <w:spacing w:before="0" w:after="283"/>
              <w:jc w:val="center"/>
              <w:rPr/>
            </w:pPr>
            <w:r>
              <w:rPr/>
              <w:t>61,452,809</w:t>
            </w:r>
          </w:p>
        </w:tc>
      </w:tr>
      <w:tr>
        <w:trPr/>
        <w:tc>
          <w:tcPr>
            <w:tcW w:w="2000" w:type="dxa"/>
            <w:tcBorders/>
            <w:shd w:fill="FFFFFF" w:val="clear"/>
            <w:vAlign w:val="center"/>
          </w:tcPr>
          <w:p>
            <w:pPr>
              <w:pStyle w:val="TableContents"/>
              <w:bidi w:val="0"/>
              <w:spacing w:before="0" w:after="283"/>
              <w:jc w:val="left"/>
              <w:rPr/>
            </w:pPr>
            <w:r>
              <w:rPr/>
              <w:t>Nancy Howell Agee</w:t>
            </w:r>
          </w:p>
        </w:tc>
        <w:tc>
          <w:tcPr>
            <w:tcW w:w="1220" w:type="dxa"/>
            <w:tcBorders/>
            <w:shd w:fill="FFFFFF" w:val="clear"/>
            <w:vAlign w:val="center"/>
          </w:tcPr>
          <w:p>
            <w:pPr>
              <w:pStyle w:val="TableContents"/>
              <w:bidi w:val="0"/>
              <w:spacing w:before="0" w:after="283"/>
              <w:jc w:val="center"/>
              <w:rPr/>
            </w:pPr>
            <w:r>
              <w:rPr/>
              <w:t>206,723,562</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pPr>
            <w:r>
              <w:rPr/>
              <w:t>4,245,863</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t>1,317,425</w:t>
            </w:r>
          </w:p>
        </w:tc>
        <w:tc>
          <w:tcPr>
            <w:tcW w:w="6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center"/>
              <w:rPr/>
            </w:pPr>
            <w:r>
              <w:rPr/>
              <w:t>61,452,809</w:t>
            </w:r>
          </w:p>
        </w:tc>
      </w:tr>
      <w:tr>
        <w:trPr/>
        <w:tc>
          <w:tcPr>
            <w:tcW w:w="2000" w:type="dxa"/>
            <w:tcBorders/>
            <w:shd w:fill="D5EAEA" w:val="clear"/>
            <w:vAlign w:val="center"/>
          </w:tcPr>
          <w:p>
            <w:pPr>
              <w:pStyle w:val="TableContents"/>
              <w:bidi w:val="0"/>
              <w:spacing w:before="0" w:after="283"/>
              <w:jc w:val="left"/>
              <w:rPr/>
            </w:pPr>
            <w:r>
              <w:rPr/>
              <w:t>Cesar Alvarez</w:t>
            </w:r>
          </w:p>
        </w:tc>
        <w:tc>
          <w:tcPr>
            <w:tcW w:w="1220" w:type="dxa"/>
            <w:tcBorders/>
            <w:shd w:fill="D5EAEA" w:val="clear"/>
            <w:vAlign w:val="center"/>
          </w:tcPr>
          <w:p>
            <w:pPr>
              <w:pStyle w:val="TableContents"/>
              <w:bidi w:val="0"/>
              <w:spacing w:before="0" w:after="283"/>
              <w:jc w:val="center"/>
              <w:rPr/>
            </w:pPr>
            <w:r>
              <w:rPr/>
              <w:t>198,441,890</w:t>
            </w:r>
          </w:p>
        </w:tc>
        <w:tc>
          <w:tcPr>
            <w:tcW w:w="60" w:type="dxa"/>
            <w:tcBorders/>
            <w:shd w:fill="D5EAEA" w:val="clear"/>
            <w:vAlign w:val="center"/>
          </w:tcPr>
          <w:p>
            <w:pPr>
              <w:pStyle w:val="TableContents"/>
              <w:bidi w:val="0"/>
              <w:spacing w:before="0" w:after="283"/>
              <w:jc w:val="left"/>
              <w:rPr/>
            </w:pPr>
            <w:r>
              <w:rPr/>
              <w:t> </w:t>
            </w:r>
          </w:p>
        </w:tc>
        <w:tc>
          <w:tcPr>
            <w:tcW w:w="1100" w:type="dxa"/>
            <w:tcBorders/>
            <w:shd w:fill="D5EAEA" w:val="clear"/>
            <w:vAlign w:val="center"/>
          </w:tcPr>
          <w:p>
            <w:pPr>
              <w:pStyle w:val="TableContents"/>
              <w:bidi w:val="0"/>
              <w:spacing w:before="0" w:after="283"/>
              <w:jc w:val="center"/>
              <w:rPr/>
            </w:pPr>
            <w:r>
              <w:rPr/>
              <w:t>12,508,463</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pPr>
            <w:r>
              <w:rPr/>
              <w:t>1,336,497</w:t>
            </w:r>
          </w:p>
        </w:tc>
        <w:tc>
          <w:tcPr>
            <w:tcW w:w="60" w:type="dxa"/>
            <w:tcBorders/>
            <w:shd w:fill="D5EAEA" w:val="clear"/>
            <w:vAlign w:val="center"/>
          </w:tcPr>
          <w:p>
            <w:pPr>
              <w:pStyle w:val="TableContents"/>
              <w:bidi w:val="0"/>
              <w:spacing w:before="0" w:after="283"/>
              <w:jc w:val="left"/>
              <w:rPr/>
            </w:pPr>
            <w:r>
              <w:rPr/>
              <w:t> </w:t>
            </w:r>
          </w:p>
        </w:tc>
        <w:tc>
          <w:tcPr>
            <w:tcW w:w="1910" w:type="dxa"/>
            <w:tcBorders/>
            <w:shd w:fill="D5EAEA" w:val="clear"/>
            <w:vAlign w:val="center"/>
          </w:tcPr>
          <w:p>
            <w:pPr>
              <w:pStyle w:val="TableContents"/>
              <w:bidi w:val="0"/>
              <w:spacing w:before="0" w:after="283"/>
              <w:jc w:val="center"/>
              <w:rPr/>
            </w:pPr>
            <w:r>
              <w:rPr/>
              <w:t>61,452,809</w:t>
            </w:r>
          </w:p>
        </w:tc>
      </w:tr>
      <w:tr>
        <w:trPr/>
        <w:tc>
          <w:tcPr>
            <w:tcW w:w="2000" w:type="dxa"/>
            <w:tcBorders/>
            <w:shd w:fill="FFFFFF" w:val="clear"/>
            <w:vAlign w:val="center"/>
          </w:tcPr>
          <w:p>
            <w:pPr>
              <w:pStyle w:val="TableContents"/>
              <w:bidi w:val="0"/>
              <w:spacing w:before="0" w:after="283"/>
              <w:jc w:val="left"/>
              <w:rPr/>
            </w:pPr>
            <w:r>
              <w:rPr/>
              <w:t>Steven Frank</w:t>
            </w:r>
          </w:p>
        </w:tc>
        <w:tc>
          <w:tcPr>
            <w:tcW w:w="1220" w:type="dxa"/>
            <w:tcBorders/>
            <w:shd w:fill="FFFFFF" w:val="clear"/>
            <w:vAlign w:val="center"/>
          </w:tcPr>
          <w:p>
            <w:pPr>
              <w:pStyle w:val="TableContents"/>
              <w:bidi w:val="0"/>
              <w:spacing w:before="0" w:after="283"/>
              <w:jc w:val="center"/>
              <w:rPr/>
            </w:pPr>
            <w:r>
              <w:rPr/>
              <w:t>205,741,016</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pPr>
            <w:r>
              <w:rPr/>
              <w:t>5,182,858</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t>1,362,976</w:t>
            </w:r>
          </w:p>
        </w:tc>
        <w:tc>
          <w:tcPr>
            <w:tcW w:w="6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center"/>
              <w:rPr/>
            </w:pPr>
            <w:r>
              <w:rPr/>
              <w:t>61,452,809</w:t>
            </w:r>
          </w:p>
        </w:tc>
      </w:tr>
      <w:tr>
        <w:trPr/>
        <w:tc>
          <w:tcPr>
            <w:tcW w:w="2000" w:type="dxa"/>
            <w:tcBorders/>
            <w:shd w:fill="D5EAEA" w:val="clear"/>
            <w:vAlign w:val="center"/>
          </w:tcPr>
          <w:p>
            <w:pPr>
              <w:pStyle w:val="TableContents"/>
              <w:bidi w:val="0"/>
              <w:spacing w:before="0" w:after="283"/>
              <w:jc w:val="left"/>
              <w:rPr/>
            </w:pPr>
            <w:r>
              <w:rPr/>
              <w:t>Vinita Gupta</w:t>
            </w:r>
          </w:p>
        </w:tc>
        <w:tc>
          <w:tcPr>
            <w:tcW w:w="1220" w:type="dxa"/>
            <w:tcBorders/>
            <w:shd w:fill="D5EAEA" w:val="clear"/>
            <w:vAlign w:val="center"/>
          </w:tcPr>
          <w:p>
            <w:pPr>
              <w:pStyle w:val="TableContents"/>
              <w:bidi w:val="0"/>
              <w:spacing w:before="0" w:after="283"/>
              <w:jc w:val="center"/>
              <w:rPr/>
            </w:pPr>
            <w:r>
              <w:rPr/>
              <w:t>153,104,242</w:t>
            </w:r>
          </w:p>
        </w:tc>
        <w:tc>
          <w:tcPr>
            <w:tcW w:w="60" w:type="dxa"/>
            <w:tcBorders/>
            <w:shd w:fill="D5EAEA" w:val="clear"/>
            <w:vAlign w:val="center"/>
          </w:tcPr>
          <w:p>
            <w:pPr>
              <w:pStyle w:val="TableContents"/>
              <w:bidi w:val="0"/>
              <w:spacing w:before="0" w:after="283"/>
              <w:jc w:val="left"/>
              <w:rPr/>
            </w:pPr>
            <w:r>
              <w:rPr/>
              <w:t> </w:t>
            </w:r>
          </w:p>
        </w:tc>
        <w:tc>
          <w:tcPr>
            <w:tcW w:w="1100" w:type="dxa"/>
            <w:tcBorders/>
            <w:shd w:fill="D5EAEA" w:val="clear"/>
            <w:vAlign w:val="center"/>
          </w:tcPr>
          <w:p>
            <w:pPr>
              <w:pStyle w:val="TableContents"/>
              <w:bidi w:val="0"/>
              <w:spacing w:before="0" w:after="283"/>
              <w:jc w:val="center"/>
              <w:rPr/>
            </w:pPr>
            <w:r>
              <w:rPr/>
              <w:t>57,856,824</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pPr>
            <w:r>
              <w:rPr/>
              <w:t>1,325,784</w:t>
            </w:r>
          </w:p>
        </w:tc>
        <w:tc>
          <w:tcPr>
            <w:tcW w:w="60" w:type="dxa"/>
            <w:tcBorders/>
            <w:shd w:fill="D5EAEA" w:val="clear"/>
            <w:vAlign w:val="center"/>
          </w:tcPr>
          <w:p>
            <w:pPr>
              <w:pStyle w:val="TableContents"/>
              <w:bidi w:val="0"/>
              <w:spacing w:before="0" w:after="283"/>
              <w:jc w:val="left"/>
              <w:rPr/>
            </w:pPr>
            <w:r>
              <w:rPr/>
              <w:t> </w:t>
            </w:r>
          </w:p>
        </w:tc>
        <w:tc>
          <w:tcPr>
            <w:tcW w:w="1910" w:type="dxa"/>
            <w:tcBorders/>
            <w:shd w:fill="D5EAEA" w:val="clear"/>
            <w:vAlign w:val="center"/>
          </w:tcPr>
          <w:p>
            <w:pPr>
              <w:pStyle w:val="TableContents"/>
              <w:bidi w:val="0"/>
              <w:spacing w:before="0" w:after="283"/>
              <w:jc w:val="center"/>
              <w:rPr/>
            </w:pPr>
            <w:r>
              <w:rPr/>
              <w:t>61,452,809</w:t>
            </w:r>
          </w:p>
        </w:tc>
      </w:tr>
      <w:tr>
        <w:trPr/>
        <w:tc>
          <w:tcPr>
            <w:tcW w:w="2000" w:type="dxa"/>
            <w:tcBorders/>
            <w:shd w:fill="FFFFFF" w:val="clear"/>
            <w:vAlign w:val="center"/>
          </w:tcPr>
          <w:p>
            <w:pPr>
              <w:pStyle w:val="TableContents"/>
              <w:bidi w:val="0"/>
              <w:spacing w:before="0" w:after="283"/>
              <w:jc w:val="left"/>
              <w:rPr/>
            </w:pPr>
            <w:r>
              <w:rPr/>
              <w:t>Fred Hassan</w:t>
            </w:r>
          </w:p>
        </w:tc>
        <w:tc>
          <w:tcPr>
            <w:tcW w:w="1220" w:type="dxa"/>
            <w:tcBorders/>
            <w:shd w:fill="FFFFFF" w:val="clear"/>
            <w:vAlign w:val="center"/>
          </w:tcPr>
          <w:p>
            <w:pPr>
              <w:pStyle w:val="TableContents"/>
              <w:bidi w:val="0"/>
              <w:spacing w:before="0" w:after="283"/>
              <w:jc w:val="center"/>
              <w:rPr/>
            </w:pPr>
            <w:r>
              <w:rPr/>
              <w:t>206,611,453</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pPr>
            <w:r>
              <w:rPr/>
              <w:t>4,378,940</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t>1,296,457</w:t>
            </w:r>
          </w:p>
        </w:tc>
        <w:tc>
          <w:tcPr>
            <w:tcW w:w="6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center"/>
              <w:rPr/>
            </w:pPr>
            <w:r>
              <w:rPr/>
              <w:t>61,452,809</w:t>
            </w:r>
          </w:p>
        </w:tc>
      </w:tr>
      <w:tr>
        <w:trPr/>
        <w:tc>
          <w:tcPr>
            <w:tcW w:w="2000" w:type="dxa"/>
            <w:tcBorders/>
            <w:shd w:fill="D5EAEA" w:val="clear"/>
            <w:vAlign w:val="center"/>
          </w:tcPr>
          <w:p>
            <w:pPr>
              <w:pStyle w:val="TableContents"/>
              <w:bidi w:val="0"/>
              <w:spacing w:before="0" w:after="283"/>
              <w:jc w:val="left"/>
              <w:rPr/>
            </w:pPr>
            <w:r>
              <w:rPr/>
              <w:t>Jeffrey Kindler</w:t>
            </w:r>
          </w:p>
        </w:tc>
        <w:tc>
          <w:tcPr>
            <w:tcW w:w="1220" w:type="dxa"/>
            <w:tcBorders/>
            <w:shd w:fill="D5EAEA" w:val="clear"/>
            <w:vAlign w:val="center"/>
          </w:tcPr>
          <w:p>
            <w:pPr>
              <w:pStyle w:val="TableContents"/>
              <w:bidi w:val="0"/>
              <w:spacing w:before="0" w:after="283"/>
              <w:jc w:val="center"/>
              <w:rPr/>
            </w:pPr>
            <w:r>
              <w:rPr/>
              <w:t>206,614,657</w:t>
            </w:r>
          </w:p>
        </w:tc>
        <w:tc>
          <w:tcPr>
            <w:tcW w:w="60" w:type="dxa"/>
            <w:tcBorders/>
            <w:shd w:fill="D5EAEA" w:val="clear"/>
            <w:vAlign w:val="center"/>
          </w:tcPr>
          <w:p>
            <w:pPr>
              <w:pStyle w:val="TableContents"/>
              <w:bidi w:val="0"/>
              <w:spacing w:before="0" w:after="283"/>
              <w:jc w:val="left"/>
              <w:rPr/>
            </w:pPr>
            <w:r>
              <w:rPr/>
              <w:t> </w:t>
            </w:r>
          </w:p>
        </w:tc>
        <w:tc>
          <w:tcPr>
            <w:tcW w:w="1100" w:type="dxa"/>
            <w:tcBorders/>
            <w:shd w:fill="D5EAEA" w:val="clear"/>
            <w:vAlign w:val="center"/>
          </w:tcPr>
          <w:p>
            <w:pPr>
              <w:pStyle w:val="TableContents"/>
              <w:bidi w:val="0"/>
              <w:spacing w:before="0" w:after="283"/>
              <w:jc w:val="center"/>
              <w:rPr/>
            </w:pPr>
            <w:r>
              <w:rPr/>
              <w:t>4,373,888</w:t>
            </w:r>
          </w:p>
        </w:tc>
        <w:tc>
          <w:tcPr>
            <w:tcW w:w="60" w:type="dxa"/>
            <w:tcBorders/>
            <w:shd w:fill="D5EAEA" w:val="clear"/>
            <w:vAlign w:val="center"/>
          </w:tcPr>
          <w:p>
            <w:pPr>
              <w:pStyle w:val="TableContents"/>
              <w:bidi w:val="0"/>
              <w:spacing w:before="0" w:after="283"/>
              <w:jc w:val="left"/>
              <w:rPr/>
            </w:pPr>
            <w:r>
              <w:rPr/>
              <w:t> </w:t>
            </w:r>
          </w:p>
        </w:tc>
        <w:tc>
          <w:tcPr>
            <w:tcW w:w="980" w:type="dxa"/>
            <w:tcBorders/>
            <w:shd w:fill="D5EAEA" w:val="clear"/>
            <w:vAlign w:val="center"/>
          </w:tcPr>
          <w:p>
            <w:pPr>
              <w:pStyle w:val="TableContents"/>
              <w:bidi w:val="0"/>
              <w:spacing w:before="0" w:after="283"/>
              <w:jc w:val="center"/>
              <w:rPr/>
            </w:pPr>
            <w:r>
              <w:rPr/>
              <w:t>1,298,305</w:t>
            </w:r>
          </w:p>
        </w:tc>
        <w:tc>
          <w:tcPr>
            <w:tcW w:w="60" w:type="dxa"/>
            <w:tcBorders/>
            <w:shd w:fill="D5EAEA" w:val="clear"/>
            <w:vAlign w:val="center"/>
          </w:tcPr>
          <w:p>
            <w:pPr>
              <w:pStyle w:val="TableContents"/>
              <w:bidi w:val="0"/>
              <w:spacing w:before="0" w:after="283"/>
              <w:jc w:val="left"/>
              <w:rPr/>
            </w:pPr>
            <w:r>
              <w:rPr/>
              <w:t> </w:t>
            </w:r>
          </w:p>
        </w:tc>
        <w:tc>
          <w:tcPr>
            <w:tcW w:w="1910" w:type="dxa"/>
            <w:tcBorders/>
            <w:shd w:fill="D5EAEA" w:val="clear"/>
            <w:vAlign w:val="center"/>
          </w:tcPr>
          <w:p>
            <w:pPr>
              <w:pStyle w:val="TableContents"/>
              <w:bidi w:val="0"/>
              <w:spacing w:before="0" w:after="283"/>
              <w:jc w:val="center"/>
              <w:rPr/>
            </w:pPr>
            <w:r>
              <w:rPr/>
              <w:t>61,452,809</w:t>
            </w:r>
          </w:p>
        </w:tc>
      </w:tr>
      <w:tr>
        <w:trPr/>
        <w:tc>
          <w:tcPr>
            <w:tcW w:w="2000" w:type="dxa"/>
            <w:tcBorders/>
            <w:shd w:fill="FFFFFF" w:val="clear"/>
            <w:vAlign w:val="center"/>
          </w:tcPr>
          <w:p>
            <w:pPr>
              <w:pStyle w:val="TableContents"/>
              <w:bidi w:val="0"/>
              <w:spacing w:before="0" w:after="283"/>
              <w:jc w:val="left"/>
              <w:rPr/>
            </w:pPr>
            <w:r>
              <w:rPr/>
              <w:t>Helen Sabzevari</w:t>
            </w:r>
          </w:p>
        </w:tc>
        <w:tc>
          <w:tcPr>
            <w:tcW w:w="1220" w:type="dxa"/>
            <w:tcBorders/>
            <w:shd w:fill="FFFFFF" w:val="clear"/>
            <w:vAlign w:val="center"/>
          </w:tcPr>
          <w:p>
            <w:pPr>
              <w:pStyle w:val="TableContents"/>
              <w:bidi w:val="0"/>
              <w:spacing w:before="0" w:after="283"/>
              <w:jc w:val="center"/>
              <w:rPr/>
            </w:pPr>
            <w:r>
              <w:rPr/>
              <w:t>210,626,763</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center"/>
              <w:rPr/>
            </w:pPr>
            <w:r>
              <w:rPr/>
              <w:t>1,532,092</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center"/>
              <w:rPr/>
            </w:pPr>
            <w:r>
              <w:rPr/>
              <w:t>127,995</w:t>
            </w:r>
          </w:p>
        </w:tc>
        <w:tc>
          <w:tcPr>
            <w:tcW w:w="60" w:type="dxa"/>
            <w:tcBorders/>
            <w:shd w:fill="FFFFFF" w:val="clear"/>
            <w:vAlign w:val="center"/>
          </w:tcPr>
          <w:p>
            <w:pPr>
              <w:pStyle w:val="TableContents"/>
              <w:bidi w:val="0"/>
              <w:spacing w:before="0" w:after="283"/>
              <w:jc w:val="left"/>
              <w:rPr/>
            </w:pPr>
            <w:r>
              <w:rPr/>
              <w:t> </w:t>
            </w:r>
          </w:p>
        </w:tc>
        <w:tc>
          <w:tcPr>
            <w:tcW w:w="1910" w:type="dxa"/>
            <w:tcBorders/>
            <w:shd w:fill="FFFFFF" w:val="clear"/>
            <w:vAlign w:val="center"/>
          </w:tcPr>
          <w:p>
            <w:pPr>
              <w:pStyle w:val="TableContents"/>
              <w:bidi w:val="0"/>
              <w:spacing w:before="0" w:after="283"/>
              <w:jc w:val="center"/>
              <w:rPr/>
            </w:pPr>
            <w:r>
              <w:rPr/>
              <w:t>61,452,809</w:t>
            </w:r>
          </w:p>
        </w:tc>
      </w:tr>
      <w:tr>
        <w:trPr/>
        <w:tc>
          <w:tcPr>
            <w:tcW w:w="2000" w:type="dxa"/>
            <w:tcBorders/>
            <w:shd w:fill="D5EAEA" w:val="clear"/>
            <w:vAlign w:val="center"/>
          </w:tcPr>
          <w:p>
            <w:pPr>
              <w:pStyle w:val="TableContents"/>
              <w:bidi w:val="0"/>
              <w:spacing w:before="0" w:after="283"/>
              <w:jc w:val="left"/>
              <w:rPr/>
            </w:pPr>
            <w:r>
              <w:rPr/>
              <w:t>James Turley</w:t>
            </w:r>
          </w:p>
        </w:tc>
        <w:tc>
          <w:tcPr>
            <w:tcW w:w="1220" w:type="dxa"/>
            <w:tcBorders/>
            <w:shd w:fill="D5EAEA" w:val="clear"/>
            <w:vAlign w:val="center"/>
          </w:tcPr>
          <w:p>
            <w:pPr>
              <w:pStyle w:val="TableContents"/>
              <w:bidi w:val="0"/>
              <w:spacing w:before="0" w:after="283"/>
              <w:jc w:val="center"/>
              <w:rPr/>
            </w:pPr>
            <w:r>
              <w:rPr/>
              <w:t>206,342,088</w:t>
            </w:r>
          </w:p>
        </w:tc>
        <w:tc>
          <w:tcPr>
            <w:tcW w:w="60" w:type="dxa"/>
            <w:tcBorders/>
            <w:shd w:fill="D5EAEA" w:val="clear"/>
            <w:vAlign w:val="center"/>
          </w:tcPr>
          <w:p>
            <w:pPr>
              <w:pStyle w:val="TableContents"/>
              <w:bidi w:val="0"/>
              <w:spacing w:before="0" w:after="283"/>
              <w:jc w:val="center"/>
              <w:rPr/>
            </w:pPr>
            <w:r>
              <w:rPr/>
              <w:t> </w:t>
            </w:r>
          </w:p>
        </w:tc>
        <w:tc>
          <w:tcPr>
            <w:tcW w:w="1100" w:type="dxa"/>
            <w:tcBorders/>
            <w:shd w:fill="D5EAEA" w:val="clear"/>
            <w:vAlign w:val="center"/>
          </w:tcPr>
          <w:p>
            <w:pPr>
              <w:pStyle w:val="TableContents"/>
              <w:bidi w:val="0"/>
              <w:spacing w:before="0" w:after="283"/>
              <w:jc w:val="center"/>
              <w:rPr/>
            </w:pPr>
            <w:r>
              <w:rPr/>
              <w:t>4,646,207</w:t>
            </w:r>
          </w:p>
        </w:tc>
        <w:tc>
          <w:tcPr>
            <w:tcW w:w="60" w:type="dxa"/>
            <w:tcBorders/>
            <w:shd w:fill="D5EAEA" w:val="clear"/>
            <w:vAlign w:val="center"/>
          </w:tcPr>
          <w:p>
            <w:pPr>
              <w:pStyle w:val="TableContents"/>
              <w:bidi w:val="0"/>
              <w:spacing w:before="0" w:after="283"/>
              <w:jc w:val="center"/>
              <w:rPr/>
            </w:pPr>
            <w:r>
              <w:rPr/>
              <w:t> </w:t>
            </w:r>
          </w:p>
        </w:tc>
        <w:tc>
          <w:tcPr>
            <w:tcW w:w="980" w:type="dxa"/>
            <w:tcBorders/>
            <w:shd w:fill="D5EAEA" w:val="clear"/>
            <w:vAlign w:val="center"/>
          </w:tcPr>
          <w:p>
            <w:pPr>
              <w:pStyle w:val="TableContents"/>
              <w:bidi w:val="0"/>
              <w:spacing w:before="0" w:after="283"/>
              <w:jc w:val="center"/>
              <w:rPr/>
            </w:pPr>
            <w:r>
              <w:rPr/>
              <w:t>1,298,555</w:t>
            </w:r>
          </w:p>
        </w:tc>
        <w:tc>
          <w:tcPr>
            <w:tcW w:w="60" w:type="dxa"/>
            <w:tcBorders/>
            <w:shd w:fill="D5EAEA" w:val="clear"/>
            <w:vAlign w:val="center"/>
          </w:tcPr>
          <w:p>
            <w:pPr>
              <w:pStyle w:val="TableContents"/>
              <w:bidi w:val="0"/>
              <w:spacing w:before="0" w:after="283"/>
              <w:jc w:val="center"/>
              <w:rPr/>
            </w:pPr>
            <w:r>
              <w:rPr/>
              <w:t> </w:t>
            </w:r>
          </w:p>
        </w:tc>
        <w:tc>
          <w:tcPr>
            <w:tcW w:w="1910" w:type="dxa"/>
            <w:tcBorders/>
            <w:shd w:fill="D5EAEA" w:val="clear"/>
            <w:vAlign w:val="center"/>
          </w:tcPr>
          <w:p>
            <w:pPr>
              <w:pStyle w:val="TableContents"/>
              <w:bidi w:val="0"/>
              <w:spacing w:before="0" w:after="283"/>
              <w:jc w:val="center"/>
              <w:rPr/>
            </w:pPr>
            <w:r>
              <w:rPr/>
              <w:t>61,452,809</w:t>
            </w:r>
          </w:p>
        </w:tc>
      </w:tr>
    </w:tbl>
    <w:p>
      <w:pPr>
        <w:pStyle w:val="TextBody"/>
        <w:bidi w:val="0"/>
        <w:spacing w:before="0" w:after="0"/>
        <w:ind w:left="420" w:right="420" w:hanging="0"/>
        <w:jc w:val="left"/>
        <w:rPr>
          <w:caps w:val="false"/>
          <w:smallCaps w:val="false"/>
        </w:rPr>
      </w:pPr>
      <w:r>
        <w:rPr>
          <w:caps w:val="false"/>
          <w:smallCaps w:val="false"/>
        </w:rPr>
        <w:t> </w:t>
      </w:r>
    </w:p>
    <w:p>
      <w:pPr>
        <w:pStyle w:val="TextBody"/>
        <w:bidi w:val="0"/>
        <w:spacing w:before="0" w:after="0"/>
        <w:ind w:left="420" w:right="4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2 </w:t>
      </w:r>
      <w:r>
        <w:rPr>
          <w:rFonts w:ascii="Times New Roman;Times;Serif" w:hAnsi="Times New Roman;Times;Serif"/>
          <w:b w:val="false"/>
          <w:i w:val="false"/>
          <w:caps w:val="false"/>
          <w:smallCaps w:val="false"/>
          <w:sz w:val="20"/>
        </w:rPr>
        <w:t>- Ratification of the Appointment of Deloitte &amp; Touche LLP as the Company’s independent registered public accounting firm for the fiscal year ending December 31, 2026.</w:t>
      </w:r>
    </w:p>
    <w:p>
      <w:pPr>
        <w:pStyle w:val="TextBody"/>
        <w:bidi w:val="0"/>
        <w:spacing w:before="0" w:after="0"/>
        <w:ind w:left="420" w:right="420" w:hanging="0"/>
        <w:jc w:val="left"/>
        <w:rPr>
          <w:caps w:val="false"/>
          <w:smallCaps w:val="false"/>
        </w:rPr>
      </w:pPr>
      <w:r>
        <w:rPr>
          <w:caps w:val="false"/>
          <w:smallCaps w:val="false"/>
        </w:rPr>
        <w:t> </w:t>
      </w:r>
    </w:p>
    <w:tbl>
      <w:tblPr>
        <w:tblW w:w="2865" w:type="dxa"/>
        <w:jc w:val="left"/>
        <w:tblInd w:w="0" w:type="dxa"/>
        <w:tblLayout w:type="fixed"/>
        <w:tblCellMar>
          <w:top w:w="0" w:type="dxa"/>
          <w:left w:w="0" w:type="dxa"/>
          <w:bottom w:w="0" w:type="dxa"/>
          <w:right w:w="0" w:type="dxa"/>
        </w:tblCellMar>
      </w:tblPr>
      <w:tblGrid>
        <w:gridCol w:w="1235"/>
        <w:gridCol w:w="800"/>
        <w:gridCol w:w="830"/>
      </w:tblGrid>
      <w:tr>
        <w:trPr/>
        <w:tc>
          <w:tcPr>
            <w:tcW w:w="1235" w:type="dxa"/>
            <w:tcBorders/>
            <w:vAlign w:val="center"/>
          </w:tcPr>
          <w:p>
            <w:pPr>
              <w:pStyle w:val="TableContents"/>
              <w:bidi w:val="0"/>
              <w:spacing w:before="0" w:after="283"/>
              <w:jc w:val="center"/>
              <w:rPr>
                <w:b/>
              </w:rPr>
            </w:pPr>
            <w:r>
              <w:rPr>
                <w:b/>
              </w:rPr>
              <w:t>For</w:t>
            </w:r>
          </w:p>
        </w:tc>
        <w:tc>
          <w:tcPr>
            <w:tcW w:w="800" w:type="dxa"/>
            <w:tcBorders/>
            <w:vAlign w:val="center"/>
          </w:tcPr>
          <w:p>
            <w:pPr>
              <w:pStyle w:val="TableContents"/>
              <w:bidi w:val="0"/>
              <w:spacing w:before="0" w:after="283"/>
              <w:jc w:val="center"/>
              <w:rPr>
                <w:b/>
              </w:rPr>
            </w:pPr>
            <w:r>
              <w:rPr>
                <w:b/>
              </w:rPr>
              <w:t>Against</w:t>
            </w:r>
          </w:p>
        </w:tc>
        <w:tc>
          <w:tcPr>
            <w:tcW w:w="830" w:type="dxa"/>
            <w:tcBorders/>
            <w:vAlign w:val="center"/>
          </w:tcPr>
          <w:p>
            <w:pPr>
              <w:pStyle w:val="TableContents"/>
              <w:bidi w:val="0"/>
              <w:spacing w:before="0" w:after="283"/>
              <w:jc w:val="center"/>
              <w:rPr>
                <w:b/>
              </w:rPr>
            </w:pPr>
            <w:r>
              <w:rPr>
                <w:b/>
              </w:rPr>
              <w:t>Abstain</w:t>
            </w:r>
          </w:p>
        </w:tc>
      </w:tr>
      <w:tr>
        <w:trPr/>
        <w:tc>
          <w:tcPr>
            <w:tcW w:w="1235" w:type="dxa"/>
            <w:tcBorders/>
            <w:shd w:fill="D5EAEA" w:val="clear"/>
            <w:vAlign w:val="center"/>
          </w:tcPr>
          <w:p>
            <w:pPr>
              <w:pStyle w:val="TableContents"/>
              <w:bidi w:val="0"/>
              <w:spacing w:before="0" w:after="283"/>
              <w:jc w:val="center"/>
              <w:rPr/>
            </w:pPr>
            <w:r>
              <w:rPr/>
              <w:t>272,813,907</w:t>
            </w:r>
          </w:p>
        </w:tc>
        <w:tc>
          <w:tcPr>
            <w:tcW w:w="800" w:type="dxa"/>
            <w:tcBorders/>
            <w:shd w:fill="D5EAEA" w:val="clear"/>
            <w:vAlign w:val="center"/>
          </w:tcPr>
          <w:p>
            <w:pPr>
              <w:pStyle w:val="TableContents"/>
              <w:bidi w:val="0"/>
              <w:spacing w:before="0" w:after="283"/>
              <w:jc w:val="center"/>
              <w:rPr/>
            </w:pPr>
            <w:r>
              <w:rPr/>
              <w:t>253,969</w:t>
            </w:r>
          </w:p>
        </w:tc>
        <w:tc>
          <w:tcPr>
            <w:tcW w:w="830" w:type="dxa"/>
            <w:tcBorders/>
            <w:shd w:fill="D5EAEA" w:val="clear"/>
            <w:vAlign w:val="center"/>
          </w:tcPr>
          <w:p>
            <w:pPr>
              <w:pStyle w:val="TableContents"/>
              <w:bidi w:val="0"/>
              <w:spacing w:before="0" w:after="283"/>
              <w:jc w:val="center"/>
              <w:rPr/>
            </w:pPr>
            <w:r>
              <w:rPr/>
              <w:t>671,783</w:t>
            </w:r>
          </w:p>
        </w:tc>
      </w:tr>
    </w:tbl>
    <w:p>
      <w:pPr>
        <w:pStyle w:val="TextBody"/>
        <w:bidi w:val="0"/>
        <w:spacing w:before="0" w:after="0"/>
        <w:ind w:left="420" w:right="420" w:hanging="0"/>
        <w:jc w:val="left"/>
        <w:rPr>
          <w:caps w:val="false"/>
          <w:smallCaps w:val="false"/>
        </w:rPr>
      </w:pPr>
      <w:r>
        <w:rPr>
          <w:caps w:val="false"/>
          <w:smallCaps w:val="false"/>
        </w:rPr>
        <w:t> </w:t>
      </w:r>
    </w:p>
    <w:p>
      <w:pPr>
        <w:pStyle w:val="TextBody"/>
        <w:bidi w:val="0"/>
        <w:spacing w:before="0" w:after="0"/>
        <w:ind w:left="420" w:right="4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3 </w:t>
      </w:r>
      <w:r>
        <w:rPr>
          <w:rFonts w:ascii="Times New Roman;Times;Serif" w:hAnsi="Times New Roman;Times;Serif"/>
          <w:b w:val="false"/>
          <w:i w:val="false"/>
          <w:caps w:val="false"/>
          <w:smallCaps w:val="false"/>
          <w:sz w:val="20"/>
        </w:rPr>
        <w:t>- Non-binding advisory resolution approving the compensation of the named executive officers.</w:t>
      </w:r>
    </w:p>
    <w:p>
      <w:pPr>
        <w:pStyle w:val="TextBody"/>
        <w:bidi w:val="0"/>
        <w:spacing w:before="0" w:after="0"/>
        <w:ind w:left="420" w:right="420" w:hanging="0"/>
        <w:jc w:val="left"/>
        <w:rPr>
          <w:caps w:val="false"/>
          <w:smallCaps w:val="false"/>
        </w:rPr>
      </w:pPr>
      <w:r>
        <w:rPr>
          <w:caps w:val="false"/>
          <w:smallCaps w:val="false"/>
        </w:rPr>
        <w:t> </w:t>
      </w:r>
    </w:p>
    <w:tbl>
      <w:tblPr>
        <w:tblW w:w="5225" w:type="dxa"/>
        <w:jc w:val="left"/>
        <w:tblInd w:w="0" w:type="dxa"/>
        <w:tblLayout w:type="fixed"/>
        <w:tblCellMar>
          <w:top w:w="0" w:type="dxa"/>
          <w:left w:w="0" w:type="dxa"/>
          <w:bottom w:w="0" w:type="dxa"/>
          <w:right w:w="0" w:type="dxa"/>
        </w:tblCellMar>
      </w:tblPr>
      <w:tblGrid>
        <w:gridCol w:w="1235"/>
        <w:gridCol w:w="1040"/>
        <w:gridCol w:w="1040"/>
        <w:gridCol w:w="1910"/>
      </w:tblGrid>
      <w:tr>
        <w:trPr/>
        <w:tc>
          <w:tcPr>
            <w:tcW w:w="1235" w:type="dxa"/>
            <w:tcBorders/>
            <w:vAlign w:val="center"/>
          </w:tcPr>
          <w:p>
            <w:pPr>
              <w:pStyle w:val="TableContents"/>
              <w:bidi w:val="0"/>
              <w:spacing w:before="0" w:after="283"/>
              <w:jc w:val="center"/>
              <w:rPr>
                <w:b/>
              </w:rPr>
            </w:pPr>
            <w:r>
              <w:rPr>
                <w:b/>
              </w:rPr>
              <w:t>For</w:t>
            </w:r>
          </w:p>
        </w:tc>
        <w:tc>
          <w:tcPr>
            <w:tcW w:w="1040" w:type="dxa"/>
            <w:tcBorders/>
            <w:vAlign w:val="center"/>
          </w:tcPr>
          <w:p>
            <w:pPr>
              <w:pStyle w:val="TableContents"/>
              <w:bidi w:val="0"/>
              <w:spacing w:before="0" w:after="283"/>
              <w:jc w:val="center"/>
              <w:rPr>
                <w:b/>
              </w:rPr>
            </w:pPr>
            <w:r>
              <w:rPr>
                <w:b/>
              </w:rPr>
              <w:t>Against</w:t>
            </w:r>
          </w:p>
        </w:tc>
        <w:tc>
          <w:tcPr>
            <w:tcW w:w="1040" w:type="dxa"/>
            <w:tcBorders/>
            <w:vAlign w:val="center"/>
          </w:tcPr>
          <w:p>
            <w:pPr>
              <w:pStyle w:val="TableContents"/>
              <w:bidi w:val="0"/>
              <w:spacing w:before="0" w:after="283"/>
              <w:jc w:val="center"/>
              <w:rPr>
                <w:b/>
              </w:rPr>
            </w:pPr>
            <w:r>
              <w:rPr>
                <w:b/>
              </w:rPr>
              <w:t>Abstain</w:t>
            </w:r>
          </w:p>
        </w:tc>
        <w:tc>
          <w:tcPr>
            <w:tcW w:w="1910" w:type="dxa"/>
            <w:tcBorders/>
            <w:vAlign w:val="center"/>
          </w:tcPr>
          <w:p>
            <w:pPr>
              <w:pStyle w:val="TableContents"/>
              <w:bidi w:val="0"/>
              <w:spacing w:before="0" w:after="283"/>
              <w:jc w:val="center"/>
              <w:rPr>
                <w:b/>
              </w:rPr>
            </w:pPr>
            <w:r>
              <w:rPr>
                <w:b/>
              </w:rPr>
              <w:t>Broker Non-Votes</w:t>
            </w:r>
          </w:p>
        </w:tc>
      </w:tr>
      <w:tr>
        <w:trPr/>
        <w:tc>
          <w:tcPr>
            <w:tcW w:w="1235" w:type="dxa"/>
            <w:tcBorders/>
            <w:shd w:fill="D5EAEA" w:val="clear"/>
            <w:vAlign w:val="center"/>
          </w:tcPr>
          <w:p>
            <w:pPr>
              <w:pStyle w:val="TableContents"/>
              <w:bidi w:val="0"/>
              <w:spacing w:before="0" w:after="283"/>
              <w:jc w:val="center"/>
              <w:rPr>
                <w:sz w:val="22"/>
              </w:rPr>
            </w:pPr>
            <w:r>
              <w:rPr>
                <w:sz w:val="22"/>
              </w:rPr>
              <w:t>208,241,739</w:t>
            </w:r>
          </w:p>
        </w:tc>
        <w:tc>
          <w:tcPr>
            <w:tcW w:w="1040" w:type="dxa"/>
            <w:tcBorders/>
            <w:shd w:fill="D5EAEA" w:val="clear"/>
            <w:vAlign w:val="center"/>
          </w:tcPr>
          <w:p>
            <w:pPr>
              <w:pStyle w:val="TableContents"/>
              <w:bidi w:val="0"/>
              <w:spacing w:before="0" w:after="283"/>
              <w:jc w:val="center"/>
              <w:rPr>
                <w:sz w:val="22"/>
              </w:rPr>
            </w:pPr>
            <w:r>
              <w:rPr>
                <w:sz w:val="22"/>
              </w:rPr>
              <w:t xml:space="preserve">2,790,879 </w:t>
            </w:r>
          </w:p>
        </w:tc>
        <w:tc>
          <w:tcPr>
            <w:tcW w:w="1040" w:type="dxa"/>
            <w:tcBorders/>
            <w:shd w:fill="D5EAEA" w:val="clear"/>
            <w:vAlign w:val="center"/>
          </w:tcPr>
          <w:p>
            <w:pPr>
              <w:pStyle w:val="TableContents"/>
              <w:bidi w:val="0"/>
              <w:spacing w:before="0" w:after="283"/>
              <w:jc w:val="center"/>
              <w:rPr>
                <w:sz w:val="22"/>
              </w:rPr>
            </w:pPr>
            <w:r>
              <w:rPr>
                <w:sz w:val="22"/>
              </w:rPr>
              <w:t xml:space="preserve">1,254,232 </w:t>
            </w:r>
          </w:p>
        </w:tc>
        <w:tc>
          <w:tcPr>
            <w:tcW w:w="1910" w:type="dxa"/>
            <w:tcBorders/>
            <w:shd w:fill="D5EAEA" w:val="clear"/>
            <w:vAlign w:val="center"/>
          </w:tcPr>
          <w:p>
            <w:pPr>
              <w:pStyle w:val="TableContents"/>
              <w:bidi w:val="0"/>
              <w:spacing w:before="0" w:after="283"/>
              <w:jc w:val="center"/>
              <w:rPr>
                <w:sz w:val="22"/>
              </w:rPr>
            </w:pPr>
            <w:r>
              <w:rPr>
                <w:sz w:val="22"/>
              </w:rPr>
              <w:t xml:space="preserve">61,452,809 </w:t>
            </w:r>
          </w:p>
        </w:tc>
      </w:tr>
    </w:tbl>
    <w:p>
      <w:pPr>
        <w:pStyle w:val="TextBody"/>
        <w:bidi w:val="0"/>
        <w:spacing w:before="0" w:after="0"/>
        <w:ind w:left="420" w:right="420" w:hanging="0"/>
        <w:jc w:val="left"/>
        <w:rPr>
          <w:caps w:val="false"/>
          <w:smallCaps w:val="false"/>
        </w:rPr>
      </w:pPr>
      <w:r>
        <w:rPr>
          <w:caps w:val="false"/>
          <w:smallCaps w:val="false"/>
        </w:rPr>
        <w:t> </w:t>
      </w:r>
    </w:p>
    <w:p>
      <w:pPr>
        <w:pStyle w:val="TextBody"/>
        <w:bidi w:val="0"/>
        <w:spacing w:before="0" w:after="0"/>
        <w:ind w:left="420" w:right="42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Proposal 4 </w:t>
      </w:r>
      <w:r>
        <w:rPr>
          <w:rFonts w:ascii="Times New Roman;Times;Serif" w:hAnsi="Times New Roman;Times;Serif"/>
          <w:b w:val="false"/>
          <w:i w:val="false"/>
          <w:caps w:val="false"/>
          <w:smallCaps w:val="false"/>
          <w:sz w:val="20"/>
        </w:rPr>
        <w:t>- Approval of an amendment to the Precigen, Inc. 2023 Omnibus Incentive Plan, as amended, to increase the number of shares of common stock which may be subject to awards thereunder by 7 million.</w:t>
      </w:r>
    </w:p>
    <w:p>
      <w:pPr>
        <w:pStyle w:val="TextBody"/>
        <w:bidi w:val="0"/>
        <w:spacing w:before="0" w:after="0"/>
        <w:ind w:left="420" w:right="420" w:hanging="0"/>
        <w:jc w:val="left"/>
        <w:rPr>
          <w:caps w:val="false"/>
          <w:smallCaps w:val="false"/>
        </w:rPr>
      </w:pPr>
      <w:r>
        <w:rPr>
          <w:caps w:val="false"/>
          <w:smallCaps w:val="false"/>
        </w:rPr>
        <w:t> </w:t>
      </w:r>
    </w:p>
    <w:tbl>
      <w:tblPr>
        <w:tblW w:w="5000" w:type="dxa"/>
        <w:jc w:val="left"/>
        <w:tblInd w:w="0" w:type="dxa"/>
        <w:tblLayout w:type="fixed"/>
        <w:tblCellMar>
          <w:top w:w="0" w:type="dxa"/>
          <w:left w:w="0" w:type="dxa"/>
          <w:bottom w:w="0" w:type="dxa"/>
          <w:right w:w="0" w:type="dxa"/>
        </w:tblCellMar>
      </w:tblPr>
      <w:tblGrid>
        <w:gridCol w:w="1295"/>
        <w:gridCol w:w="980"/>
        <w:gridCol w:w="815"/>
        <w:gridCol w:w="1910"/>
      </w:tblGrid>
      <w:tr>
        <w:trPr/>
        <w:tc>
          <w:tcPr>
            <w:tcW w:w="1295" w:type="dxa"/>
            <w:tcBorders/>
            <w:vAlign w:val="center"/>
          </w:tcPr>
          <w:p>
            <w:pPr>
              <w:pStyle w:val="TableContents"/>
              <w:bidi w:val="0"/>
              <w:spacing w:before="0" w:after="283"/>
              <w:jc w:val="center"/>
              <w:rPr>
                <w:b/>
              </w:rPr>
            </w:pPr>
            <w:r>
              <w:rPr>
                <w:b/>
              </w:rPr>
              <w:t>For</w:t>
            </w:r>
          </w:p>
        </w:tc>
        <w:tc>
          <w:tcPr>
            <w:tcW w:w="980" w:type="dxa"/>
            <w:tcBorders/>
            <w:vAlign w:val="center"/>
          </w:tcPr>
          <w:p>
            <w:pPr>
              <w:pStyle w:val="TableContents"/>
              <w:bidi w:val="0"/>
              <w:spacing w:before="0" w:after="283"/>
              <w:jc w:val="center"/>
              <w:rPr>
                <w:b/>
              </w:rPr>
            </w:pPr>
            <w:r>
              <w:rPr>
                <w:b/>
              </w:rPr>
              <w:t>Against</w:t>
            </w:r>
          </w:p>
        </w:tc>
        <w:tc>
          <w:tcPr>
            <w:tcW w:w="815" w:type="dxa"/>
            <w:tcBorders/>
            <w:vAlign w:val="center"/>
          </w:tcPr>
          <w:p>
            <w:pPr>
              <w:pStyle w:val="TableContents"/>
              <w:bidi w:val="0"/>
              <w:spacing w:before="0" w:after="283"/>
              <w:jc w:val="center"/>
              <w:rPr>
                <w:b/>
              </w:rPr>
            </w:pPr>
            <w:r>
              <w:rPr>
                <w:b/>
              </w:rPr>
              <w:t>Abstain</w:t>
            </w:r>
          </w:p>
        </w:tc>
        <w:tc>
          <w:tcPr>
            <w:tcW w:w="1910" w:type="dxa"/>
            <w:tcBorders/>
            <w:vAlign w:val="center"/>
          </w:tcPr>
          <w:p>
            <w:pPr>
              <w:pStyle w:val="TableContents"/>
              <w:bidi w:val="0"/>
              <w:spacing w:before="0" w:after="283"/>
              <w:jc w:val="center"/>
              <w:rPr>
                <w:b/>
              </w:rPr>
            </w:pPr>
            <w:r>
              <w:rPr>
                <w:b/>
              </w:rPr>
              <w:t>Broker Non-Votes</w:t>
            </w:r>
          </w:p>
        </w:tc>
      </w:tr>
      <w:tr>
        <w:trPr/>
        <w:tc>
          <w:tcPr>
            <w:tcW w:w="1295" w:type="dxa"/>
            <w:tcBorders/>
            <w:shd w:fill="D5EAEA" w:val="clear"/>
            <w:vAlign w:val="center"/>
          </w:tcPr>
          <w:p>
            <w:pPr>
              <w:pStyle w:val="TableContents"/>
              <w:bidi w:val="0"/>
              <w:spacing w:before="0" w:after="283"/>
              <w:jc w:val="center"/>
              <w:rPr>
                <w:sz w:val="22"/>
              </w:rPr>
            </w:pPr>
            <w:r>
              <w:rPr>
                <w:sz w:val="22"/>
              </w:rPr>
              <w:t xml:space="preserve">207,056,264 </w:t>
            </w:r>
          </w:p>
        </w:tc>
        <w:tc>
          <w:tcPr>
            <w:tcW w:w="980" w:type="dxa"/>
            <w:tcBorders/>
            <w:shd w:fill="D5EAEA" w:val="clear"/>
            <w:vAlign w:val="center"/>
          </w:tcPr>
          <w:p>
            <w:pPr>
              <w:pStyle w:val="TableContents"/>
              <w:bidi w:val="0"/>
              <w:spacing w:before="0" w:after="283"/>
              <w:jc w:val="center"/>
              <w:rPr>
                <w:sz w:val="22"/>
              </w:rPr>
            </w:pPr>
            <w:r>
              <w:rPr>
                <w:sz w:val="22"/>
              </w:rPr>
              <w:t>4,996,260</w:t>
            </w:r>
          </w:p>
        </w:tc>
        <w:tc>
          <w:tcPr>
            <w:tcW w:w="815" w:type="dxa"/>
            <w:tcBorders/>
            <w:shd w:fill="D5EAEA" w:val="clear"/>
            <w:vAlign w:val="center"/>
          </w:tcPr>
          <w:p>
            <w:pPr>
              <w:pStyle w:val="TableContents"/>
              <w:bidi w:val="0"/>
              <w:spacing w:before="0" w:after="283"/>
              <w:jc w:val="center"/>
              <w:rPr>
                <w:sz w:val="22"/>
              </w:rPr>
            </w:pPr>
            <w:r>
              <w:rPr>
                <w:sz w:val="22"/>
              </w:rPr>
              <w:t>234,326</w:t>
            </w:r>
          </w:p>
        </w:tc>
        <w:tc>
          <w:tcPr>
            <w:tcW w:w="1910" w:type="dxa"/>
            <w:tcBorders/>
            <w:shd w:fill="D5EAEA" w:val="clear"/>
            <w:vAlign w:val="center"/>
          </w:tcPr>
          <w:p>
            <w:pPr>
              <w:pStyle w:val="TableContents"/>
              <w:bidi w:val="0"/>
              <w:spacing w:before="0" w:after="283"/>
              <w:jc w:val="center"/>
              <w:rPr>
                <w:sz w:val="22"/>
              </w:rPr>
            </w:pPr>
            <w:r>
              <w:rPr>
                <w:sz w:val="22"/>
              </w:rPr>
              <w:t xml:space="preserve">61,452,809 </w:t>
            </w:r>
          </w:p>
        </w:tc>
      </w:tr>
    </w:tbl>
    <w:p>
      <w:pPr>
        <w:pStyle w:val="TextBody"/>
        <w:bidi w:val="0"/>
        <w:spacing w:before="0" w:after="0"/>
        <w:ind w:left="420" w:right="42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4623" w:type="dxa"/>
        <w:jc w:val="left"/>
        <w:tblInd w:w="0" w:type="dxa"/>
        <w:tblLayout w:type="fixed"/>
        <w:tblCellMar>
          <w:top w:w="0" w:type="dxa"/>
          <w:left w:w="0" w:type="dxa"/>
          <w:bottom w:w="0" w:type="dxa"/>
          <w:right w:w="0" w:type="dxa"/>
        </w:tblCellMar>
      </w:tblPr>
      <w:tblGrid>
        <w:gridCol w:w="38"/>
        <w:gridCol w:w="1025"/>
        <w:gridCol w:w="3560"/>
      </w:tblGrid>
      <w:tr>
        <w:trPr/>
        <w:tc>
          <w:tcPr>
            <w:tcW w:w="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b/>
              </w:rPr>
            </w:pPr>
            <w:r>
              <w:rPr>
                <w:b/>
              </w:rPr>
              <w:t>Item 9.01.</w:t>
            </w:r>
          </w:p>
        </w:tc>
        <w:tc>
          <w:tcPr>
            <w:tcW w:w="3560" w:type="dxa"/>
            <w:tcBorders/>
            <w:vAlign w:val="center"/>
          </w:tcPr>
          <w:p>
            <w:pPr>
              <w:pStyle w:val="TableContents"/>
              <w:bidi w:val="0"/>
              <w:spacing w:before="0" w:after="283"/>
              <w:jc w:val="left"/>
              <w:rPr>
                <w:b/>
              </w:rPr>
            </w:pPr>
            <w:r>
              <w:rPr>
                <w:b/>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9480"/>
      </w:tblGrid>
      <w:tr>
        <w:trPr/>
        <w:tc>
          <w:tcPr>
            <w:tcW w:w="6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b/>
              </w:rPr>
            </w:pPr>
            <w:r>
              <w:rPr>
                <w:b/>
              </w:rPr>
              <w:t>Description</w:t>
            </w:r>
          </w:p>
        </w:tc>
      </w:tr>
      <w:tr>
        <w:trPr/>
        <w:tc>
          <w:tcPr>
            <w:tcW w:w="6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center"/>
              <w:rPr/>
            </w:pPr>
            <w:r>
              <w:rPr/>
              <w:t>104</w:t>
            </w:r>
          </w:p>
        </w:tc>
        <w:tc>
          <w:tcPr>
            <w:tcW w:w="60" w:type="dxa"/>
            <w:tcBorders/>
            <w:vAlign w:val="center"/>
          </w:tcPr>
          <w:p>
            <w:pPr>
              <w:pStyle w:val="TableContents"/>
              <w:bidi w:val="0"/>
              <w:spacing w:before="0" w:after="283"/>
              <w:jc w:val="left"/>
              <w:rPr/>
            </w:pPr>
            <w:r>
              <w:rPr/>
              <w:t> </w:t>
            </w:r>
          </w:p>
        </w:tc>
        <w:tc>
          <w:tcPr>
            <w:tcW w:w="9480" w:type="dxa"/>
            <w:tcBorders/>
            <w:vAlign w:val="center"/>
          </w:tcPr>
          <w:p>
            <w:pPr>
              <w:pStyle w:val="TableContents"/>
              <w:bidi w:val="0"/>
              <w:spacing w:before="0" w:after="283"/>
              <w:jc w:val="left"/>
              <w:rPr/>
            </w:pPr>
            <w:r>
              <w:rPr/>
              <w:t>Cover Page Interactive Data File (formatted as inline XBRL with applicable taxonomy extension information contained in Exhibits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75"/>
        <w:gridCol w:w="365"/>
        <w:gridCol w:w="1895"/>
      </w:tblGrid>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b/>
              </w:rPr>
            </w:pPr>
            <w:r>
              <w:rPr>
                <w:b/>
              </w:rPr>
              <w:t>Precigen, Inc.</w:t>
            </w:r>
          </w:p>
        </w:tc>
      </w:tr>
      <w:tr>
        <w:trPr/>
        <w:tc>
          <w:tcPr>
            <w:tcW w:w="7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1895" w:type="dxa"/>
            <w:tcBorders/>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Donald P. Lehr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Donald P. Lehr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Chief Legal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June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857</Words>
  <Characters>4857</Characters>
  <CharactersWithSpaces>5689</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